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65998" w14:textId="77777777" w:rsidR="0002102E" w:rsidRDefault="0002102E" w:rsidP="0002102E">
      <w:pPr>
        <w:spacing w:line="480" w:lineRule="auto"/>
        <w:ind w:left="720" w:hanging="360"/>
        <w:jc w:val="center"/>
        <w:rPr>
          <w:rFonts w:ascii="Times New Roman" w:hAnsi="Times New Roman" w:cs="Times New Roman"/>
          <w:sz w:val="24"/>
          <w:szCs w:val="24"/>
        </w:rPr>
      </w:pPr>
      <w:bookmarkStart w:id="0" w:name="_GoBack"/>
      <w:bookmarkEnd w:id="0"/>
    </w:p>
    <w:p w14:paraId="2BB9FE20" w14:textId="77777777" w:rsidR="0002102E" w:rsidRDefault="0002102E" w:rsidP="0002102E">
      <w:pPr>
        <w:spacing w:line="480" w:lineRule="auto"/>
        <w:ind w:left="720" w:hanging="360"/>
        <w:jc w:val="center"/>
        <w:rPr>
          <w:rFonts w:ascii="Times New Roman" w:hAnsi="Times New Roman" w:cs="Times New Roman"/>
          <w:sz w:val="24"/>
          <w:szCs w:val="24"/>
        </w:rPr>
      </w:pPr>
    </w:p>
    <w:p w14:paraId="33696A60" w14:textId="77777777" w:rsidR="0002102E" w:rsidRDefault="0002102E" w:rsidP="0002102E">
      <w:pPr>
        <w:spacing w:line="480" w:lineRule="auto"/>
        <w:ind w:left="720" w:hanging="360"/>
        <w:jc w:val="center"/>
        <w:rPr>
          <w:rFonts w:ascii="Times New Roman" w:hAnsi="Times New Roman" w:cs="Times New Roman"/>
          <w:sz w:val="24"/>
          <w:szCs w:val="24"/>
        </w:rPr>
      </w:pPr>
    </w:p>
    <w:p w14:paraId="41D973BF" w14:textId="77777777" w:rsidR="0002102E" w:rsidRDefault="0002102E" w:rsidP="0002102E">
      <w:pPr>
        <w:spacing w:line="480" w:lineRule="auto"/>
        <w:ind w:left="720" w:hanging="360"/>
        <w:jc w:val="center"/>
        <w:rPr>
          <w:rFonts w:ascii="Times New Roman" w:hAnsi="Times New Roman" w:cs="Times New Roman"/>
          <w:sz w:val="24"/>
          <w:szCs w:val="24"/>
        </w:rPr>
      </w:pPr>
    </w:p>
    <w:p w14:paraId="2901624D" w14:textId="77777777" w:rsidR="0002102E" w:rsidRDefault="0002102E" w:rsidP="0002102E">
      <w:pPr>
        <w:spacing w:line="480" w:lineRule="auto"/>
        <w:ind w:left="720" w:hanging="360"/>
        <w:jc w:val="center"/>
        <w:rPr>
          <w:rFonts w:ascii="Times New Roman" w:hAnsi="Times New Roman" w:cs="Times New Roman"/>
          <w:sz w:val="24"/>
          <w:szCs w:val="24"/>
        </w:rPr>
      </w:pPr>
    </w:p>
    <w:p w14:paraId="0243DD90" w14:textId="4E3A2DF1"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Capital Structure Decisions</w:t>
      </w:r>
    </w:p>
    <w:p w14:paraId="458AB352" w14:textId="77777777"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Student’s name</w:t>
      </w:r>
    </w:p>
    <w:p w14:paraId="750E266E" w14:textId="77777777"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Institutional affiliation</w:t>
      </w:r>
    </w:p>
    <w:p w14:paraId="3AE53B67" w14:textId="77777777"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Course-name</w:t>
      </w:r>
    </w:p>
    <w:p w14:paraId="0724B88F" w14:textId="77777777"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Course number</w:t>
      </w:r>
    </w:p>
    <w:p w14:paraId="64AD7243" w14:textId="26C90D22" w:rsidR="0002102E" w:rsidRPr="0002102E" w:rsidRDefault="00372980" w:rsidP="0002102E">
      <w:pPr>
        <w:spacing w:line="480" w:lineRule="auto"/>
        <w:ind w:left="720" w:hanging="360"/>
        <w:jc w:val="center"/>
        <w:rPr>
          <w:rFonts w:ascii="Times New Roman" w:hAnsi="Times New Roman" w:cs="Times New Roman"/>
          <w:sz w:val="24"/>
          <w:szCs w:val="24"/>
        </w:rPr>
      </w:pPr>
      <w:r w:rsidRPr="0002102E">
        <w:rPr>
          <w:rFonts w:ascii="Times New Roman" w:hAnsi="Times New Roman" w:cs="Times New Roman"/>
          <w:sz w:val="24"/>
          <w:szCs w:val="24"/>
        </w:rPr>
        <w:t>Date of submission</w:t>
      </w:r>
    </w:p>
    <w:p w14:paraId="18DBA3F5" w14:textId="3D2DBC61" w:rsidR="0002102E" w:rsidRPr="0002102E" w:rsidRDefault="0002102E" w:rsidP="0002102E">
      <w:pPr>
        <w:spacing w:line="480" w:lineRule="auto"/>
        <w:ind w:left="720" w:hanging="360"/>
        <w:jc w:val="center"/>
        <w:rPr>
          <w:rFonts w:ascii="Times New Roman" w:hAnsi="Times New Roman" w:cs="Times New Roman"/>
          <w:sz w:val="24"/>
          <w:szCs w:val="24"/>
        </w:rPr>
      </w:pPr>
    </w:p>
    <w:p w14:paraId="1EA0AEEE" w14:textId="1563A433" w:rsidR="0002102E" w:rsidRDefault="0002102E" w:rsidP="0002102E">
      <w:pPr>
        <w:spacing w:line="480" w:lineRule="auto"/>
        <w:ind w:left="720" w:hanging="360"/>
      </w:pPr>
    </w:p>
    <w:p w14:paraId="2A9EF3CC" w14:textId="2EFBA696" w:rsidR="0002102E" w:rsidRDefault="0002102E" w:rsidP="0002102E">
      <w:pPr>
        <w:spacing w:line="480" w:lineRule="auto"/>
        <w:ind w:left="720" w:hanging="360"/>
      </w:pPr>
    </w:p>
    <w:p w14:paraId="07329B4B" w14:textId="3B7C34B5" w:rsidR="0002102E" w:rsidRDefault="0002102E" w:rsidP="0002102E">
      <w:pPr>
        <w:spacing w:line="480" w:lineRule="auto"/>
        <w:ind w:left="720" w:hanging="360"/>
      </w:pPr>
    </w:p>
    <w:p w14:paraId="26FEE0E4" w14:textId="1B065C34" w:rsidR="0002102E" w:rsidRDefault="0002102E" w:rsidP="0002102E">
      <w:pPr>
        <w:spacing w:line="480" w:lineRule="auto"/>
        <w:ind w:left="720" w:hanging="360"/>
      </w:pPr>
    </w:p>
    <w:p w14:paraId="5E0BF468" w14:textId="0BAC187E" w:rsidR="0002102E" w:rsidRDefault="0002102E" w:rsidP="0002102E">
      <w:pPr>
        <w:spacing w:line="480" w:lineRule="auto"/>
        <w:ind w:left="720" w:hanging="360"/>
      </w:pPr>
    </w:p>
    <w:p w14:paraId="664D2F93" w14:textId="77777777" w:rsidR="0002102E" w:rsidRDefault="0002102E" w:rsidP="0002102E">
      <w:pPr>
        <w:spacing w:line="480" w:lineRule="auto"/>
      </w:pPr>
    </w:p>
    <w:p w14:paraId="5A18EEC6" w14:textId="1569CFD8" w:rsidR="006D2651" w:rsidRPr="0002102E" w:rsidRDefault="00372980" w:rsidP="0002102E">
      <w:pPr>
        <w:pStyle w:val="ListParagraph"/>
        <w:numPr>
          <w:ilvl w:val="0"/>
          <w:numId w:val="3"/>
        </w:numPr>
        <w:spacing w:line="480" w:lineRule="auto"/>
        <w:rPr>
          <w:rFonts w:ascii="Times New Roman" w:hAnsi="Times New Roman" w:cs="Times New Roman"/>
          <w:sz w:val="24"/>
          <w:szCs w:val="24"/>
        </w:rPr>
      </w:pPr>
      <w:r w:rsidRPr="0002102E">
        <w:rPr>
          <w:rFonts w:ascii="Times New Roman" w:hAnsi="Times New Roman" w:cs="Times New Roman"/>
          <w:sz w:val="24"/>
          <w:szCs w:val="24"/>
        </w:rPr>
        <w:lastRenderedPageBreak/>
        <w:t>The calculation is in SAR million.</w:t>
      </w:r>
    </w:p>
    <w:p w14:paraId="3DE27450" w14:textId="69F8A1F5" w:rsidR="001962E6" w:rsidRPr="0002102E" w:rsidRDefault="00372980" w:rsidP="0002102E">
      <w:pPr>
        <w:pStyle w:val="ListParagraph"/>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This is an implication that the </w:t>
      </w:r>
      <w:r w:rsidR="00A03FA9" w:rsidRPr="0002102E">
        <w:rPr>
          <w:rFonts w:ascii="Times New Roman" w:hAnsi="Times New Roman" w:cs="Times New Roman"/>
          <w:sz w:val="24"/>
          <w:szCs w:val="24"/>
        </w:rPr>
        <w:t>total net income of the firm will decrease marginally. However, it will add debt to the capital structure.</w:t>
      </w:r>
      <w:r w:rsidR="002D372B">
        <w:rPr>
          <w:rFonts w:ascii="Times New Roman" w:hAnsi="Times New Roman" w:cs="Times New Roman"/>
          <w:sz w:val="24"/>
          <w:szCs w:val="24"/>
        </w:rPr>
        <w:t xml:space="preserve"> As a result, </w:t>
      </w:r>
    </w:p>
    <w:p w14:paraId="1BD3EC2F" w14:textId="2C188E08" w:rsidR="007C384E" w:rsidRPr="0002102E" w:rsidRDefault="007C384E" w:rsidP="0002102E">
      <w:pPr>
        <w:pStyle w:val="ListParagraph"/>
        <w:spacing w:line="480" w:lineRule="auto"/>
        <w:rPr>
          <w:rFonts w:ascii="Times New Roman" w:hAnsi="Times New Roman" w:cs="Times New Roman"/>
          <w:sz w:val="24"/>
          <w:szCs w:val="24"/>
        </w:rPr>
      </w:pPr>
    </w:p>
    <w:p w14:paraId="450DA345" w14:textId="73608215" w:rsidR="007C384E" w:rsidRPr="00C75D29" w:rsidRDefault="00372980" w:rsidP="00C75D29">
      <w:pPr>
        <w:pStyle w:val="ListParagraph"/>
        <w:numPr>
          <w:ilvl w:val="0"/>
          <w:numId w:val="3"/>
        </w:numPr>
        <w:spacing w:line="480" w:lineRule="auto"/>
        <w:rPr>
          <w:rFonts w:ascii="Times New Roman" w:hAnsi="Times New Roman" w:cs="Times New Roman"/>
          <w:sz w:val="24"/>
          <w:szCs w:val="24"/>
        </w:rPr>
      </w:pPr>
      <w:r w:rsidRPr="00C75D29">
        <w:rPr>
          <w:rFonts w:ascii="Times New Roman" w:hAnsi="Times New Roman" w:cs="Times New Roman"/>
          <w:sz w:val="24"/>
          <w:szCs w:val="24"/>
        </w:rPr>
        <w:t>assuming a rise in the cost of debt to 15%,</w:t>
      </w:r>
    </w:p>
    <w:p w14:paraId="68D69042" w14:textId="7A82C76B" w:rsidR="003C0FB9" w:rsidRPr="00C75D29" w:rsidRDefault="00372980" w:rsidP="00C75D29">
      <w:pPr>
        <w:pStyle w:val="ListParagraph"/>
        <w:numPr>
          <w:ilvl w:val="0"/>
          <w:numId w:val="3"/>
        </w:numPr>
        <w:spacing w:line="480" w:lineRule="auto"/>
        <w:rPr>
          <w:rFonts w:ascii="Times New Roman" w:hAnsi="Times New Roman" w:cs="Times New Roman"/>
          <w:sz w:val="24"/>
          <w:szCs w:val="24"/>
        </w:rPr>
      </w:pPr>
      <w:r w:rsidRPr="00C75D29">
        <w:rPr>
          <w:rFonts w:ascii="Times New Roman" w:hAnsi="Times New Roman" w:cs="Times New Roman"/>
          <w:sz w:val="24"/>
          <w:szCs w:val="24"/>
        </w:rPr>
        <w:t>Reflecting on the calculations and keeping in mind the health industry, it is recommended that the company adopt the debt structure. This will assist in raising the equity return of the shareholders. Additionally, it will decrease the net income, although the shareholders' overall return will later decrease. This will enhance the happiness of the shareholders since their returns will have been maximized. The dilution of control will be experienced, as well.</w:t>
      </w:r>
    </w:p>
    <w:p w14:paraId="018A3F07" w14:textId="3524DF18" w:rsidR="003C0FB9" w:rsidRDefault="00372980" w:rsidP="0002102E">
      <w:pPr>
        <w:spacing w:line="480" w:lineRule="auto"/>
        <w:rPr>
          <w:rFonts w:ascii="Times New Roman" w:hAnsi="Times New Roman" w:cs="Times New Roman"/>
          <w:sz w:val="24"/>
          <w:szCs w:val="24"/>
        </w:rPr>
      </w:pPr>
      <w:r w:rsidRPr="0002102E">
        <w:rPr>
          <w:rFonts w:ascii="Times New Roman" w:hAnsi="Times New Roman" w:cs="Times New Roman"/>
          <w:sz w:val="24"/>
          <w:szCs w:val="24"/>
        </w:rPr>
        <w:t xml:space="preserve">To the western investors, the return on investment is worthy </w:t>
      </w:r>
      <w:r w:rsidR="000413C5" w:rsidRPr="0002102E">
        <w:rPr>
          <w:rFonts w:ascii="Times New Roman" w:hAnsi="Times New Roman" w:cs="Times New Roman"/>
          <w:sz w:val="24"/>
          <w:szCs w:val="24"/>
        </w:rPr>
        <w:t>as they are guaranteed maximum returns from the investment. The structure enhances equity returns, which will be the case for western investors.</w:t>
      </w:r>
      <w:r w:rsidR="003F1B5D" w:rsidRPr="0002102E">
        <w:rPr>
          <w:rFonts w:ascii="Times New Roman" w:hAnsi="Times New Roman" w:cs="Times New Roman"/>
          <w:sz w:val="24"/>
          <w:szCs w:val="24"/>
        </w:rPr>
        <w:t xml:space="preserve"> Even if there are associated risks like a decrease in the net income, the debt structure will adjust with time, and the net income will get back to normal. The taxation rate is also friendly for</w:t>
      </w:r>
      <w:r w:rsidR="0002102E" w:rsidRPr="0002102E">
        <w:rPr>
          <w:rFonts w:ascii="Times New Roman" w:hAnsi="Times New Roman" w:cs="Times New Roman"/>
          <w:sz w:val="24"/>
          <w:szCs w:val="24"/>
        </w:rPr>
        <w:t xml:space="preserve"> western investors. </w:t>
      </w:r>
    </w:p>
    <w:p w14:paraId="628F5B42" w14:textId="11DFBA69" w:rsidR="0002102E" w:rsidRDefault="00372980" w:rsidP="0002102E">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the Western investors should </w:t>
      </w:r>
      <w:r w:rsidR="002204DE">
        <w:rPr>
          <w:rFonts w:ascii="Times New Roman" w:hAnsi="Times New Roman" w:cs="Times New Roman"/>
          <w:sz w:val="24"/>
          <w:szCs w:val="24"/>
        </w:rPr>
        <w:t xml:space="preserve">also </w:t>
      </w:r>
      <w:r>
        <w:rPr>
          <w:rFonts w:ascii="Times New Roman" w:hAnsi="Times New Roman" w:cs="Times New Roman"/>
          <w:sz w:val="24"/>
          <w:szCs w:val="24"/>
        </w:rPr>
        <w:t>put into conside</w:t>
      </w:r>
      <w:r w:rsidR="002204DE">
        <w:rPr>
          <w:rFonts w:ascii="Times New Roman" w:hAnsi="Times New Roman" w:cs="Times New Roman"/>
          <w:sz w:val="24"/>
          <w:szCs w:val="24"/>
        </w:rPr>
        <w:t>ration that capital markets which incorporate both the equity and debt. The main obstacle to growth for Islamic investment is the effective and efficient capital markets system to enhance distribution channels and scale to reach various institutional investors. The wester investors should consider for the best design that would favor their distribution channels and allow scaling.</w:t>
      </w:r>
    </w:p>
    <w:p w14:paraId="6B130AE2" w14:textId="2025CFB6" w:rsidR="000F1596" w:rsidRDefault="00372980" w:rsidP="0002102E">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side of debts, sukuks may be supplied without the government, both municipality, and sovereign, corporates, or DF’s collateral. Sukuk's structure and value will be based on the issuing </w:t>
      </w:r>
      <w:r>
        <w:rPr>
          <w:rFonts w:ascii="Times New Roman" w:hAnsi="Times New Roman" w:cs="Times New Roman"/>
          <w:sz w:val="24"/>
          <w:szCs w:val="24"/>
        </w:rPr>
        <w:lastRenderedPageBreak/>
        <w:t>organization's reputation that will perform as an informal guarantee for the Sukuk payment. The Sukuk can also be backed with assets. However, in some cases, it might be tied to the underlying performing asset cash flows.</w:t>
      </w:r>
    </w:p>
    <w:p w14:paraId="659E4295" w14:textId="6925C9E2" w:rsidR="00C75D29" w:rsidRDefault="00372980" w:rsidP="0002102E">
      <w:pPr>
        <w:spacing w:line="480" w:lineRule="auto"/>
        <w:rPr>
          <w:rFonts w:ascii="Times New Roman" w:hAnsi="Times New Roman" w:cs="Times New Roman"/>
          <w:sz w:val="24"/>
          <w:szCs w:val="24"/>
        </w:rPr>
      </w:pPr>
      <w:r>
        <w:rPr>
          <w:rFonts w:ascii="Times New Roman" w:hAnsi="Times New Roman" w:cs="Times New Roman"/>
          <w:sz w:val="24"/>
          <w:szCs w:val="24"/>
        </w:rPr>
        <w:t>For Sukuk, the underlying assets may be structured in a manner of sharia-compliant, mostly applying Murabaha. Like in conventional bonds, the western investors will be offered by Sukuks an investment option that is safe. They will give the opportunity to the fund managers to diversify the portfolios of investment for risk as well as an asset class, and they will be essential contributors to capital markets systems that function well.</w:t>
      </w:r>
    </w:p>
    <w:p w14:paraId="70683D87" w14:textId="6A0D4838" w:rsidR="0002102E" w:rsidRDefault="0002102E" w:rsidP="0002102E">
      <w:pPr>
        <w:spacing w:line="480" w:lineRule="auto"/>
        <w:rPr>
          <w:rFonts w:ascii="Times New Roman" w:hAnsi="Times New Roman" w:cs="Times New Roman"/>
          <w:sz w:val="24"/>
          <w:szCs w:val="24"/>
        </w:rPr>
      </w:pPr>
    </w:p>
    <w:p w14:paraId="1A988701" w14:textId="687FF219" w:rsidR="0002102E" w:rsidRDefault="0002102E" w:rsidP="0002102E">
      <w:pPr>
        <w:spacing w:line="480" w:lineRule="auto"/>
        <w:rPr>
          <w:rFonts w:ascii="Times New Roman" w:hAnsi="Times New Roman" w:cs="Times New Roman"/>
          <w:sz w:val="24"/>
          <w:szCs w:val="24"/>
        </w:rPr>
      </w:pPr>
    </w:p>
    <w:p w14:paraId="0F77A6E4" w14:textId="7C4A2B54" w:rsidR="0002102E" w:rsidRDefault="0002102E" w:rsidP="0002102E">
      <w:pPr>
        <w:spacing w:line="480" w:lineRule="auto"/>
        <w:rPr>
          <w:rFonts w:ascii="Times New Roman" w:hAnsi="Times New Roman" w:cs="Times New Roman"/>
          <w:sz w:val="24"/>
          <w:szCs w:val="24"/>
        </w:rPr>
      </w:pPr>
    </w:p>
    <w:p w14:paraId="446D1FB0" w14:textId="29658B9D" w:rsidR="0002102E" w:rsidRDefault="0002102E" w:rsidP="0002102E">
      <w:pPr>
        <w:spacing w:line="480" w:lineRule="auto"/>
        <w:rPr>
          <w:rFonts w:ascii="Times New Roman" w:hAnsi="Times New Roman" w:cs="Times New Roman"/>
          <w:sz w:val="24"/>
          <w:szCs w:val="24"/>
        </w:rPr>
      </w:pPr>
    </w:p>
    <w:p w14:paraId="37A9D65C" w14:textId="0991567A" w:rsidR="0002102E" w:rsidRDefault="0002102E" w:rsidP="0002102E">
      <w:pPr>
        <w:spacing w:line="480" w:lineRule="auto"/>
        <w:rPr>
          <w:rFonts w:ascii="Times New Roman" w:hAnsi="Times New Roman" w:cs="Times New Roman"/>
          <w:sz w:val="24"/>
          <w:szCs w:val="24"/>
        </w:rPr>
      </w:pPr>
    </w:p>
    <w:p w14:paraId="27AF2BA3" w14:textId="0629D13A" w:rsidR="0002102E" w:rsidRDefault="0002102E" w:rsidP="0002102E">
      <w:pPr>
        <w:spacing w:line="480" w:lineRule="auto"/>
        <w:rPr>
          <w:rFonts w:ascii="Times New Roman" w:hAnsi="Times New Roman" w:cs="Times New Roman"/>
          <w:sz w:val="24"/>
          <w:szCs w:val="24"/>
        </w:rPr>
      </w:pPr>
    </w:p>
    <w:p w14:paraId="0D4C5CB7" w14:textId="458D8643" w:rsidR="0002102E" w:rsidRDefault="0002102E" w:rsidP="0002102E">
      <w:pPr>
        <w:spacing w:line="480" w:lineRule="auto"/>
        <w:rPr>
          <w:rFonts w:ascii="Times New Roman" w:hAnsi="Times New Roman" w:cs="Times New Roman"/>
          <w:sz w:val="24"/>
          <w:szCs w:val="24"/>
        </w:rPr>
      </w:pPr>
    </w:p>
    <w:p w14:paraId="61649181" w14:textId="6A2EE18B" w:rsidR="0002102E" w:rsidRDefault="0002102E" w:rsidP="0002102E">
      <w:pPr>
        <w:spacing w:line="480" w:lineRule="auto"/>
        <w:rPr>
          <w:rFonts w:ascii="Times New Roman" w:hAnsi="Times New Roman" w:cs="Times New Roman"/>
          <w:sz w:val="24"/>
          <w:szCs w:val="24"/>
        </w:rPr>
      </w:pPr>
    </w:p>
    <w:p w14:paraId="238F8FFA" w14:textId="559334AC" w:rsidR="0002102E" w:rsidRDefault="0002102E" w:rsidP="0002102E">
      <w:pPr>
        <w:spacing w:line="480" w:lineRule="auto"/>
        <w:rPr>
          <w:rFonts w:ascii="Times New Roman" w:hAnsi="Times New Roman" w:cs="Times New Roman"/>
          <w:sz w:val="24"/>
          <w:szCs w:val="24"/>
        </w:rPr>
      </w:pPr>
    </w:p>
    <w:p w14:paraId="0B5895EF" w14:textId="607CB76E" w:rsidR="0002102E" w:rsidRDefault="0002102E" w:rsidP="0002102E">
      <w:pPr>
        <w:spacing w:line="480" w:lineRule="auto"/>
        <w:rPr>
          <w:rFonts w:ascii="Times New Roman" w:hAnsi="Times New Roman" w:cs="Times New Roman"/>
          <w:sz w:val="24"/>
          <w:szCs w:val="24"/>
        </w:rPr>
      </w:pPr>
    </w:p>
    <w:p w14:paraId="1226C8A7" w14:textId="091C8908" w:rsidR="0002102E" w:rsidRDefault="0002102E" w:rsidP="0002102E">
      <w:pPr>
        <w:spacing w:line="480" w:lineRule="auto"/>
        <w:rPr>
          <w:rFonts w:ascii="Times New Roman" w:hAnsi="Times New Roman" w:cs="Times New Roman"/>
          <w:sz w:val="24"/>
          <w:szCs w:val="24"/>
        </w:rPr>
      </w:pPr>
    </w:p>
    <w:p w14:paraId="26C1C037" w14:textId="71F7BC51" w:rsidR="0069046D" w:rsidRDefault="0069046D" w:rsidP="0002102E">
      <w:pPr>
        <w:spacing w:line="480" w:lineRule="auto"/>
        <w:rPr>
          <w:rFonts w:ascii="Times New Roman" w:hAnsi="Times New Roman" w:cs="Times New Roman"/>
          <w:sz w:val="24"/>
          <w:szCs w:val="24"/>
        </w:rPr>
      </w:pPr>
    </w:p>
    <w:p w14:paraId="4800746C" w14:textId="77777777" w:rsidR="0069046D" w:rsidRDefault="0069046D" w:rsidP="0002102E">
      <w:pPr>
        <w:spacing w:line="480" w:lineRule="auto"/>
        <w:rPr>
          <w:rFonts w:ascii="Times New Roman" w:hAnsi="Times New Roman" w:cs="Times New Roman"/>
          <w:sz w:val="24"/>
          <w:szCs w:val="24"/>
        </w:rPr>
      </w:pPr>
    </w:p>
    <w:p w14:paraId="188EA5D9" w14:textId="6344D1C4" w:rsidR="0002102E" w:rsidRDefault="00372980" w:rsidP="0002102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3C142CA" w14:textId="77777777" w:rsidR="0002102E" w:rsidRDefault="00372980"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Harris, C., &amp; Roark, S. (2019). Cash flow risk and capital structure decisions. Finance Research Letters, 29, 393-397.</w:t>
      </w:r>
    </w:p>
    <w:p w14:paraId="582C28BB" w14:textId="77777777" w:rsidR="0002102E" w:rsidRDefault="00372980"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Martellini, L., Milhau, V., &amp; Tarelli, A. (2018). Capital structure decisions and the optimal design of corporate market debt programs. Journal of Corporate Finance, 49, 141-167.</w:t>
      </w:r>
    </w:p>
    <w:p w14:paraId="312376C2" w14:textId="77777777" w:rsidR="0002102E" w:rsidRPr="0002102E" w:rsidRDefault="00372980" w:rsidP="0002102E">
      <w:pPr>
        <w:spacing w:line="480" w:lineRule="auto"/>
        <w:ind w:left="720" w:hanging="720"/>
        <w:rPr>
          <w:rFonts w:ascii="Times New Roman" w:hAnsi="Times New Roman" w:cs="Times New Roman"/>
          <w:sz w:val="24"/>
          <w:szCs w:val="24"/>
        </w:rPr>
      </w:pPr>
      <w:r w:rsidRPr="0002102E">
        <w:rPr>
          <w:rFonts w:ascii="Times New Roman" w:hAnsi="Times New Roman" w:cs="Times New Roman"/>
          <w:sz w:val="24"/>
          <w:szCs w:val="24"/>
        </w:rPr>
        <w:t>Neves, M. E., Serrasqueiro, Z., Dias, A., &amp; Hermano, C. (2020). Capital structure decisions in a period of economic intervention. International Journal of Accounting &amp; Information Management.</w:t>
      </w:r>
    </w:p>
    <w:sectPr w:rsidR="0002102E" w:rsidRPr="0002102E" w:rsidSect="000210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30F67" w14:textId="77777777" w:rsidR="00B960ED" w:rsidRDefault="00B960ED">
      <w:pPr>
        <w:spacing w:after="0" w:line="240" w:lineRule="auto"/>
      </w:pPr>
      <w:r>
        <w:separator/>
      </w:r>
    </w:p>
  </w:endnote>
  <w:endnote w:type="continuationSeparator" w:id="0">
    <w:p w14:paraId="1DB825DD" w14:textId="77777777" w:rsidR="00B960ED" w:rsidRDefault="00B96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7B8E3" w14:textId="77777777" w:rsidR="00B960ED" w:rsidRDefault="00B960ED">
      <w:pPr>
        <w:spacing w:after="0" w:line="240" w:lineRule="auto"/>
      </w:pPr>
      <w:r>
        <w:separator/>
      </w:r>
    </w:p>
  </w:footnote>
  <w:footnote w:type="continuationSeparator" w:id="0">
    <w:p w14:paraId="179A1314" w14:textId="77777777" w:rsidR="00B960ED" w:rsidRDefault="00B960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960432"/>
      <w:docPartObj>
        <w:docPartGallery w:val="Page Numbers (Top of Page)"/>
        <w:docPartUnique/>
      </w:docPartObj>
    </w:sdtPr>
    <w:sdtEndPr>
      <w:rPr>
        <w:noProof/>
      </w:rPr>
    </w:sdtEndPr>
    <w:sdtContent>
      <w:p w14:paraId="44735D9B" w14:textId="1CB6AB42" w:rsidR="0002102E" w:rsidRDefault="00372980">
        <w:pPr>
          <w:pStyle w:val="Header"/>
          <w:jc w:val="right"/>
        </w:pPr>
        <w:r>
          <w:fldChar w:fldCharType="begin"/>
        </w:r>
        <w:r>
          <w:instrText xml:space="preserve"> PAGE   \* MERGEFORMAT </w:instrText>
        </w:r>
        <w:r>
          <w:fldChar w:fldCharType="separate"/>
        </w:r>
        <w:r w:rsidR="006F0BC9">
          <w:rPr>
            <w:noProof/>
          </w:rPr>
          <w:t>4</w:t>
        </w:r>
        <w:r>
          <w:rPr>
            <w:noProof/>
          </w:rPr>
          <w:fldChar w:fldCharType="end"/>
        </w:r>
      </w:p>
    </w:sdtContent>
  </w:sdt>
  <w:p w14:paraId="625AD068" w14:textId="3B68280E" w:rsidR="0002102E" w:rsidRPr="0033163C" w:rsidRDefault="00372980">
    <w:pPr>
      <w:pStyle w:val="Header"/>
      <w:rPr>
        <w:rFonts w:ascii="Times New Roman" w:hAnsi="Times New Roman" w:cs="Times New Roman"/>
        <w:sz w:val="24"/>
        <w:szCs w:val="24"/>
      </w:rPr>
    </w:pPr>
    <w:r w:rsidRPr="0033163C">
      <w:rPr>
        <w:rFonts w:ascii="Times New Roman" w:hAnsi="Times New Roman" w:cs="Times New Roman"/>
        <w:sz w:val="24"/>
        <w:szCs w:val="24"/>
      </w:rPr>
      <w:t>CAPITAL STRUCTURE DECISIONS.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3374957"/>
      <w:docPartObj>
        <w:docPartGallery w:val="Page Numbers (Top of Page)"/>
        <w:docPartUnique/>
      </w:docPartObj>
    </w:sdtPr>
    <w:sdtEndPr>
      <w:rPr>
        <w:noProof/>
      </w:rPr>
    </w:sdtEndPr>
    <w:sdtContent>
      <w:p w14:paraId="2BE8CE4F" w14:textId="25E032EC" w:rsidR="0002102E" w:rsidRDefault="00372980">
        <w:pPr>
          <w:pStyle w:val="Header"/>
          <w:jc w:val="right"/>
        </w:pPr>
        <w:r>
          <w:fldChar w:fldCharType="begin"/>
        </w:r>
        <w:r>
          <w:instrText xml:space="preserve"> PAGE   \* MERGEFORMAT </w:instrText>
        </w:r>
        <w:r>
          <w:fldChar w:fldCharType="separate"/>
        </w:r>
        <w:r w:rsidR="006F0BC9">
          <w:rPr>
            <w:noProof/>
          </w:rPr>
          <w:t>1</w:t>
        </w:r>
        <w:r>
          <w:rPr>
            <w:noProof/>
          </w:rPr>
          <w:fldChar w:fldCharType="end"/>
        </w:r>
      </w:p>
    </w:sdtContent>
  </w:sdt>
  <w:p w14:paraId="0FD02FC5" w14:textId="2BF0A16F" w:rsidR="0002102E" w:rsidRPr="0033163C" w:rsidRDefault="00372980">
    <w:pPr>
      <w:pStyle w:val="Header"/>
      <w:rPr>
        <w:rFonts w:ascii="Times New Roman" w:hAnsi="Times New Roman" w:cs="Times New Roman"/>
        <w:sz w:val="24"/>
        <w:szCs w:val="24"/>
      </w:rPr>
    </w:pPr>
    <w:r w:rsidRPr="0033163C">
      <w:rPr>
        <w:rFonts w:ascii="Times New Roman" w:hAnsi="Times New Roman" w:cs="Times New Roman"/>
        <w:sz w:val="24"/>
        <w:szCs w:val="24"/>
      </w:rPr>
      <w:t>Running Head: CAPITAL STRUCTURE DECISIONS.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862686"/>
    <w:multiLevelType w:val="hybridMultilevel"/>
    <w:tmpl w:val="E3A23A76"/>
    <w:lvl w:ilvl="0" w:tplc="B914BA8E">
      <w:start w:val="1"/>
      <w:numFmt w:val="upperLetter"/>
      <w:lvlText w:val="%1)"/>
      <w:lvlJc w:val="left"/>
      <w:pPr>
        <w:ind w:left="720" w:hanging="360"/>
      </w:pPr>
      <w:rPr>
        <w:rFonts w:hint="default"/>
      </w:rPr>
    </w:lvl>
    <w:lvl w:ilvl="1" w:tplc="8828D8FE" w:tentative="1">
      <w:start w:val="1"/>
      <w:numFmt w:val="lowerLetter"/>
      <w:lvlText w:val="%2."/>
      <w:lvlJc w:val="left"/>
      <w:pPr>
        <w:ind w:left="1440" w:hanging="360"/>
      </w:pPr>
    </w:lvl>
    <w:lvl w:ilvl="2" w:tplc="33EA288C" w:tentative="1">
      <w:start w:val="1"/>
      <w:numFmt w:val="lowerRoman"/>
      <w:lvlText w:val="%3."/>
      <w:lvlJc w:val="right"/>
      <w:pPr>
        <w:ind w:left="2160" w:hanging="180"/>
      </w:pPr>
    </w:lvl>
    <w:lvl w:ilvl="3" w:tplc="FA760508" w:tentative="1">
      <w:start w:val="1"/>
      <w:numFmt w:val="decimal"/>
      <w:lvlText w:val="%4."/>
      <w:lvlJc w:val="left"/>
      <w:pPr>
        <w:ind w:left="2880" w:hanging="360"/>
      </w:pPr>
    </w:lvl>
    <w:lvl w:ilvl="4" w:tplc="728CE388" w:tentative="1">
      <w:start w:val="1"/>
      <w:numFmt w:val="lowerLetter"/>
      <w:lvlText w:val="%5."/>
      <w:lvlJc w:val="left"/>
      <w:pPr>
        <w:ind w:left="3600" w:hanging="360"/>
      </w:pPr>
    </w:lvl>
    <w:lvl w:ilvl="5" w:tplc="6ABC1C98" w:tentative="1">
      <w:start w:val="1"/>
      <w:numFmt w:val="lowerRoman"/>
      <w:lvlText w:val="%6."/>
      <w:lvlJc w:val="right"/>
      <w:pPr>
        <w:ind w:left="4320" w:hanging="180"/>
      </w:pPr>
    </w:lvl>
    <w:lvl w:ilvl="6" w:tplc="57501A68" w:tentative="1">
      <w:start w:val="1"/>
      <w:numFmt w:val="decimal"/>
      <w:lvlText w:val="%7."/>
      <w:lvlJc w:val="left"/>
      <w:pPr>
        <w:ind w:left="5040" w:hanging="360"/>
      </w:pPr>
    </w:lvl>
    <w:lvl w:ilvl="7" w:tplc="915E45B2" w:tentative="1">
      <w:start w:val="1"/>
      <w:numFmt w:val="lowerLetter"/>
      <w:lvlText w:val="%8."/>
      <w:lvlJc w:val="left"/>
      <w:pPr>
        <w:ind w:left="5760" w:hanging="360"/>
      </w:pPr>
    </w:lvl>
    <w:lvl w:ilvl="8" w:tplc="2FC613A0" w:tentative="1">
      <w:start w:val="1"/>
      <w:numFmt w:val="lowerRoman"/>
      <w:lvlText w:val="%9."/>
      <w:lvlJc w:val="right"/>
      <w:pPr>
        <w:ind w:left="6480" w:hanging="180"/>
      </w:pPr>
    </w:lvl>
  </w:abstractNum>
  <w:abstractNum w:abstractNumId="1">
    <w:nsid w:val="54DF3E60"/>
    <w:multiLevelType w:val="hybridMultilevel"/>
    <w:tmpl w:val="6A2A6E06"/>
    <w:lvl w:ilvl="0" w:tplc="C614808E">
      <w:start w:val="1"/>
      <w:numFmt w:val="lowerLetter"/>
      <w:lvlText w:val="%1)"/>
      <w:lvlJc w:val="left"/>
      <w:pPr>
        <w:ind w:left="720" w:hanging="360"/>
      </w:pPr>
      <w:rPr>
        <w:rFonts w:hint="default"/>
      </w:rPr>
    </w:lvl>
    <w:lvl w:ilvl="1" w:tplc="339EA24E" w:tentative="1">
      <w:start w:val="1"/>
      <w:numFmt w:val="lowerLetter"/>
      <w:lvlText w:val="%2."/>
      <w:lvlJc w:val="left"/>
      <w:pPr>
        <w:ind w:left="1440" w:hanging="360"/>
      </w:pPr>
    </w:lvl>
    <w:lvl w:ilvl="2" w:tplc="2EA86D6E" w:tentative="1">
      <w:start w:val="1"/>
      <w:numFmt w:val="lowerRoman"/>
      <w:lvlText w:val="%3."/>
      <w:lvlJc w:val="right"/>
      <w:pPr>
        <w:ind w:left="2160" w:hanging="180"/>
      </w:pPr>
    </w:lvl>
    <w:lvl w:ilvl="3" w:tplc="8490246E" w:tentative="1">
      <w:start w:val="1"/>
      <w:numFmt w:val="decimal"/>
      <w:lvlText w:val="%4."/>
      <w:lvlJc w:val="left"/>
      <w:pPr>
        <w:ind w:left="2880" w:hanging="360"/>
      </w:pPr>
    </w:lvl>
    <w:lvl w:ilvl="4" w:tplc="1BC841DC" w:tentative="1">
      <w:start w:val="1"/>
      <w:numFmt w:val="lowerLetter"/>
      <w:lvlText w:val="%5."/>
      <w:lvlJc w:val="left"/>
      <w:pPr>
        <w:ind w:left="3600" w:hanging="360"/>
      </w:pPr>
    </w:lvl>
    <w:lvl w:ilvl="5" w:tplc="E4BCAC04" w:tentative="1">
      <w:start w:val="1"/>
      <w:numFmt w:val="lowerRoman"/>
      <w:lvlText w:val="%6."/>
      <w:lvlJc w:val="right"/>
      <w:pPr>
        <w:ind w:left="4320" w:hanging="180"/>
      </w:pPr>
    </w:lvl>
    <w:lvl w:ilvl="6" w:tplc="B2749D72" w:tentative="1">
      <w:start w:val="1"/>
      <w:numFmt w:val="decimal"/>
      <w:lvlText w:val="%7."/>
      <w:lvlJc w:val="left"/>
      <w:pPr>
        <w:ind w:left="5040" w:hanging="360"/>
      </w:pPr>
    </w:lvl>
    <w:lvl w:ilvl="7" w:tplc="8C46D97E" w:tentative="1">
      <w:start w:val="1"/>
      <w:numFmt w:val="lowerLetter"/>
      <w:lvlText w:val="%8."/>
      <w:lvlJc w:val="left"/>
      <w:pPr>
        <w:ind w:left="5760" w:hanging="360"/>
      </w:pPr>
    </w:lvl>
    <w:lvl w:ilvl="8" w:tplc="61846A54" w:tentative="1">
      <w:start w:val="1"/>
      <w:numFmt w:val="lowerRoman"/>
      <w:lvlText w:val="%9."/>
      <w:lvlJc w:val="right"/>
      <w:pPr>
        <w:ind w:left="6480" w:hanging="180"/>
      </w:pPr>
    </w:lvl>
  </w:abstractNum>
  <w:abstractNum w:abstractNumId="2">
    <w:nsid w:val="661C1D2F"/>
    <w:multiLevelType w:val="hybridMultilevel"/>
    <w:tmpl w:val="E06E89B2"/>
    <w:lvl w:ilvl="0" w:tplc="35DA6024">
      <w:start w:val="1"/>
      <w:numFmt w:val="lowerLetter"/>
      <w:lvlText w:val="%1)"/>
      <w:lvlJc w:val="left"/>
      <w:pPr>
        <w:ind w:left="1080" w:hanging="360"/>
      </w:pPr>
      <w:rPr>
        <w:rFonts w:hint="default"/>
      </w:rPr>
    </w:lvl>
    <w:lvl w:ilvl="1" w:tplc="B7D02AE8" w:tentative="1">
      <w:start w:val="1"/>
      <w:numFmt w:val="lowerLetter"/>
      <w:lvlText w:val="%2."/>
      <w:lvlJc w:val="left"/>
      <w:pPr>
        <w:ind w:left="1800" w:hanging="360"/>
      </w:pPr>
    </w:lvl>
    <w:lvl w:ilvl="2" w:tplc="7812C7C0" w:tentative="1">
      <w:start w:val="1"/>
      <w:numFmt w:val="lowerRoman"/>
      <w:lvlText w:val="%3."/>
      <w:lvlJc w:val="right"/>
      <w:pPr>
        <w:ind w:left="2520" w:hanging="180"/>
      </w:pPr>
    </w:lvl>
    <w:lvl w:ilvl="3" w:tplc="BC86F352" w:tentative="1">
      <w:start w:val="1"/>
      <w:numFmt w:val="decimal"/>
      <w:lvlText w:val="%4."/>
      <w:lvlJc w:val="left"/>
      <w:pPr>
        <w:ind w:left="3240" w:hanging="360"/>
      </w:pPr>
    </w:lvl>
    <w:lvl w:ilvl="4" w:tplc="3740FBCC" w:tentative="1">
      <w:start w:val="1"/>
      <w:numFmt w:val="lowerLetter"/>
      <w:lvlText w:val="%5."/>
      <w:lvlJc w:val="left"/>
      <w:pPr>
        <w:ind w:left="3960" w:hanging="360"/>
      </w:pPr>
    </w:lvl>
    <w:lvl w:ilvl="5" w:tplc="828E1B58" w:tentative="1">
      <w:start w:val="1"/>
      <w:numFmt w:val="lowerRoman"/>
      <w:lvlText w:val="%6."/>
      <w:lvlJc w:val="right"/>
      <w:pPr>
        <w:ind w:left="4680" w:hanging="180"/>
      </w:pPr>
    </w:lvl>
    <w:lvl w:ilvl="6" w:tplc="667C0F3C" w:tentative="1">
      <w:start w:val="1"/>
      <w:numFmt w:val="decimal"/>
      <w:lvlText w:val="%7."/>
      <w:lvlJc w:val="left"/>
      <w:pPr>
        <w:ind w:left="5400" w:hanging="360"/>
      </w:pPr>
    </w:lvl>
    <w:lvl w:ilvl="7" w:tplc="AEA0BC68" w:tentative="1">
      <w:start w:val="1"/>
      <w:numFmt w:val="lowerLetter"/>
      <w:lvlText w:val="%8."/>
      <w:lvlJc w:val="left"/>
      <w:pPr>
        <w:ind w:left="6120" w:hanging="360"/>
      </w:pPr>
    </w:lvl>
    <w:lvl w:ilvl="8" w:tplc="67A6C3B2"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E6"/>
    <w:rsid w:val="0002102E"/>
    <w:rsid w:val="000413C5"/>
    <w:rsid w:val="000F1596"/>
    <w:rsid w:val="001962E6"/>
    <w:rsid w:val="002204DE"/>
    <w:rsid w:val="00284A4E"/>
    <w:rsid w:val="002D372B"/>
    <w:rsid w:val="0033163C"/>
    <w:rsid w:val="00372980"/>
    <w:rsid w:val="003C0FB9"/>
    <w:rsid w:val="003F1B5D"/>
    <w:rsid w:val="005C66CB"/>
    <w:rsid w:val="00683881"/>
    <w:rsid w:val="0069046D"/>
    <w:rsid w:val="006B0E63"/>
    <w:rsid w:val="006D2651"/>
    <w:rsid w:val="006F0BC9"/>
    <w:rsid w:val="006F7A38"/>
    <w:rsid w:val="007A123D"/>
    <w:rsid w:val="007C384E"/>
    <w:rsid w:val="007C3C8E"/>
    <w:rsid w:val="00944D87"/>
    <w:rsid w:val="00A03FA9"/>
    <w:rsid w:val="00A14E1E"/>
    <w:rsid w:val="00B960ED"/>
    <w:rsid w:val="00C7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22FFD-C0E7-4B86-BD7D-58ACFB5E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2E6"/>
    <w:pPr>
      <w:ind w:left="720"/>
      <w:contextualSpacing/>
    </w:pPr>
  </w:style>
  <w:style w:type="table" w:styleId="TableGrid">
    <w:name w:val="Table Grid"/>
    <w:basedOn w:val="TableNormal"/>
    <w:uiPriority w:val="39"/>
    <w:rsid w:val="00196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1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02E"/>
  </w:style>
  <w:style w:type="paragraph" w:styleId="Footer">
    <w:name w:val="footer"/>
    <w:basedOn w:val="Normal"/>
    <w:link w:val="FooterChar"/>
    <w:uiPriority w:val="99"/>
    <w:unhideWhenUsed/>
    <w:rsid w:val="00021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2020-10-17T19:23:00Z</dcterms:created>
  <dcterms:modified xsi:type="dcterms:W3CDTF">2020-10-17T19:23:00Z</dcterms:modified>
</cp:coreProperties>
</file>